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ГУБЕРНАТОР 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АМУРСКОЙ ОБЛАСТИ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> РАСПОРЯЖЕНИЕ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> 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> 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>                                от 04.12.2009 г.                                                                          №360-р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г. Благовещенск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Об </w:t>
      </w: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организации деятельности</w:t>
      </w: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центров здоровья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по формированию здорового образа жизни у граждан Амурской области,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 включая сокращение </w:t>
      </w: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потребления алкоголя</w:t>
      </w: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и табака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5A5C5D"/>
          <w:sz w:val="21"/>
          <w:szCs w:val="21"/>
          <w:bdr w:val="none" w:sz="0" w:space="0" w:color="auto" w:frame="1"/>
        </w:rPr>
        <w:t> 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Во  исполнение постановления Правительства Российской  Федерации от 18 мая 2009 г. № 413 «О финансовом обеспечении в 2009 году за счет ассигнований федерального бюджета мероприятий, направленных на формирование здорового образа жизни у граждан, включая сокращение потребления  алкоголя и табака» и в соответствии с Соглашением между Министерством здравоохранения и социального развития Российской Федерации и Правительством Амурской области о реализации в 2009 году мероприятий, направленных на формирование здорового образа жизни у граждан  Российской Федерации, включая сокращение  потребления алкоголя  и табака: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1. Министерству здравоохранения области (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Ю.Г.Максимов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):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1.</w:t>
      </w:r>
      <w:proofErr w:type="gram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1.Обеспечить</w:t>
      </w:r>
      <w:proofErr w:type="gram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проведение мероприятий по    созданию центров здоровья в 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г.Благовещенске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 с зоной ответственности 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г.Благовещенск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и Благовещенский район и в 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г.Свободном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с зоной ответственности  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г.Свободный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Свободненский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 район, 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г.Белогорск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 и Белогорский  район с 04 декабря 2009 года;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1.</w:t>
      </w:r>
      <w:proofErr w:type="gram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2.Обеспечить</w:t>
      </w:r>
      <w:proofErr w:type="gram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организационно-методическое руководство и контроль за работой центров здоровья на территории области.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2. Рекомендовать: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2.</w:t>
      </w:r>
      <w:proofErr w:type="gram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1.Главе</w:t>
      </w:r>
      <w:proofErr w:type="gram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администрации 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г.Свободного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(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Р.В.Каминский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), мэру 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г.Благовещенска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(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А.А.Мигуля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) создать центр здоровья и  обеспечить  контроль за его  работой  на территории  зоны ответственности.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2.</w:t>
      </w:r>
      <w:proofErr w:type="gram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2.Главе</w:t>
      </w:r>
      <w:proofErr w:type="gram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администрации муниципального образования Благовещенского района (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И.Г.Горевой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), главе администрации муниципального образования 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Свободненского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района (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Ю.П.Романов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), главе администрации 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г.Белогорск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(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С.Ю.Мелюков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), главе администрации муниципального образования Белогорского района (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В.А.Афанасьев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)  обеспечить условия работы центров здоровья на подведомственных территориях.  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3. Контроль за исполнением настоящего постановления возложить на заместителя председателя правительства области </w:t>
      </w: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В.В.Марценко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.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 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 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 </w:t>
      </w:r>
    </w:p>
    <w:p w:rsid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 </w:t>
      </w:r>
    </w:p>
    <w:p w:rsidR="00B11FA9" w:rsidRPr="00370464" w:rsidRDefault="00370464" w:rsidP="00370464">
      <w:pPr>
        <w:pStyle w:val="a3"/>
        <w:shd w:val="clear" w:color="auto" w:fill="FFFFFF"/>
        <w:spacing w:before="0" w:beforeAutospacing="0" w:after="0" w:afterAutospacing="0" w:line="345" w:lineRule="atLeast"/>
        <w:jc w:val="right"/>
        <w:textAlignment w:val="baseline"/>
        <w:rPr>
          <w:rFonts w:ascii="Arial" w:hAnsi="Arial" w:cs="Arial"/>
          <w:color w:val="5A5C5D"/>
          <w:sz w:val="21"/>
          <w:szCs w:val="21"/>
        </w:rPr>
      </w:pPr>
      <w:proofErr w:type="spellStart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>О.Н.Кожемяко</w:t>
      </w:r>
      <w:proofErr w:type="spellEnd"/>
      <w:r>
        <w:rPr>
          <w:rFonts w:ascii="inherit" w:hAnsi="inherit" w:cs="Arial"/>
          <w:color w:val="5A5C5D"/>
          <w:sz w:val="21"/>
          <w:szCs w:val="21"/>
          <w:bdr w:val="none" w:sz="0" w:space="0" w:color="auto" w:frame="1"/>
        </w:rPr>
        <w:t xml:space="preserve">   </w:t>
      </w:r>
      <w:bookmarkStart w:id="0" w:name="_GoBack"/>
      <w:bookmarkEnd w:id="0"/>
    </w:p>
    <w:sectPr w:rsidR="00B11FA9" w:rsidRPr="00370464" w:rsidSect="003704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64"/>
    <w:rsid w:val="00370464"/>
    <w:rsid w:val="00B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A002"/>
  <w15:chartTrackingRefBased/>
  <w15:docId w15:val="{A350BF51-BB87-443D-B359-AC3E1BBE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2023-10-16T06:58:00Z</dcterms:created>
  <dcterms:modified xsi:type="dcterms:W3CDTF">2023-10-16T06:58:00Z</dcterms:modified>
</cp:coreProperties>
</file>